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87" w:rsidRPr="009121A5" w:rsidRDefault="00365087" w:rsidP="009121A5">
      <w:pPr>
        <w:ind w:firstLine="709"/>
        <w:jc w:val="center"/>
        <w:rPr>
          <w:rFonts w:cs="Arial"/>
          <w:bCs/>
        </w:rPr>
      </w:pPr>
      <w:r w:rsidRPr="009121A5">
        <w:rPr>
          <w:rFonts w:cs="Arial"/>
          <w:bCs/>
        </w:rPr>
        <w:t>СОВЕТ НАРОДНЫХ ДЕПУТАТОВ ПЧЕЛИНОВСКОГО СЕЛЬСКОГО ПОСЕЛЕНИЯ БОБРОВСКОГО МУНИЦИПАЛЬНОГО РАЙОНА</w:t>
      </w:r>
      <w:r w:rsidR="009121A5" w:rsidRPr="009121A5">
        <w:rPr>
          <w:rFonts w:cs="Arial"/>
          <w:bCs/>
        </w:rPr>
        <w:t xml:space="preserve">  </w:t>
      </w:r>
      <w:r w:rsidR="009121A5">
        <w:rPr>
          <w:rFonts w:cs="Arial"/>
          <w:bCs/>
        </w:rPr>
        <w:br/>
      </w:r>
      <w:r w:rsidRPr="009121A5">
        <w:rPr>
          <w:rFonts w:cs="Arial"/>
        </w:rPr>
        <w:t>ВОРОНЕЖСКОЙ ОБЛАСТИ</w:t>
      </w:r>
    </w:p>
    <w:p w:rsidR="00365087" w:rsidRPr="009121A5" w:rsidRDefault="00365087" w:rsidP="009121A5">
      <w:pPr>
        <w:pStyle w:val="3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121A5">
        <w:rPr>
          <w:rFonts w:ascii="Arial" w:hAnsi="Arial" w:cs="Arial"/>
          <w:b w:val="0"/>
          <w:sz w:val="24"/>
          <w:szCs w:val="24"/>
        </w:rPr>
        <w:t>РЕШЕНИЕ</w:t>
      </w:r>
    </w:p>
    <w:p w:rsidR="00365087" w:rsidRPr="009121A5" w:rsidRDefault="00365087" w:rsidP="00C4431A">
      <w:pPr>
        <w:ind w:firstLine="0"/>
        <w:rPr>
          <w:rFonts w:cs="Arial"/>
        </w:rPr>
      </w:pPr>
      <w:r w:rsidRPr="009121A5">
        <w:rPr>
          <w:rFonts w:cs="Arial"/>
        </w:rPr>
        <w:t>От</w:t>
      </w:r>
      <w:r w:rsidR="009121A5" w:rsidRPr="009121A5">
        <w:rPr>
          <w:rFonts w:cs="Arial"/>
        </w:rPr>
        <w:t xml:space="preserve"> </w:t>
      </w:r>
      <w:r w:rsidR="00587C32">
        <w:rPr>
          <w:rFonts w:cs="Arial"/>
        </w:rPr>
        <w:t>1</w:t>
      </w:r>
      <w:r w:rsidR="00D8054D">
        <w:rPr>
          <w:rFonts w:cs="Arial"/>
        </w:rPr>
        <w:t>8</w:t>
      </w:r>
      <w:r w:rsidRPr="009121A5">
        <w:rPr>
          <w:rFonts w:cs="Arial"/>
        </w:rPr>
        <w:t>.0</w:t>
      </w:r>
      <w:r w:rsidR="00587C32">
        <w:rPr>
          <w:rFonts w:cs="Arial"/>
        </w:rPr>
        <w:t>9</w:t>
      </w:r>
      <w:r w:rsidRPr="009121A5">
        <w:rPr>
          <w:rFonts w:cs="Arial"/>
        </w:rPr>
        <w:t xml:space="preserve">.2024 г. № </w:t>
      </w:r>
      <w:r w:rsidR="00D8054D">
        <w:rPr>
          <w:rFonts w:cs="Arial"/>
        </w:rPr>
        <w:t>25</w:t>
      </w:r>
    </w:p>
    <w:p w:rsidR="00365087" w:rsidRPr="009121A5" w:rsidRDefault="00365087" w:rsidP="00C4431A">
      <w:pPr>
        <w:ind w:firstLine="0"/>
        <w:rPr>
          <w:rFonts w:cs="Arial"/>
        </w:rPr>
      </w:pPr>
      <w:r w:rsidRPr="009121A5">
        <w:rPr>
          <w:rFonts w:cs="Arial"/>
        </w:rPr>
        <w:t>с. Пчелиновка</w:t>
      </w:r>
    </w:p>
    <w:p w:rsidR="00365087" w:rsidRPr="009121A5" w:rsidRDefault="00365087" w:rsidP="009121A5">
      <w:pPr>
        <w:ind w:firstLine="709"/>
        <w:outlineLvl w:val="0"/>
        <w:rPr>
          <w:rFonts w:cs="Arial"/>
        </w:rPr>
      </w:pPr>
    </w:p>
    <w:p w:rsidR="00365087" w:rsidRPr="009121A5" w:rsidRDefault="00365087" w:rsidP="009121A5">
      <w:pPr>
        <w:ind w:left="567" w:firstLine="709"/>
        <w:jc w:val="center"/>
        <w:outlineLvl w:val="0"/>
        <w:rPr>
          <w:rFonts w:cs="Arial"/>
        </w:rPr>
      </w:pPr>
      <w:r w:rsidRPr="009121A5">
        <w:rPr>
          <w:rFonts w:cs="Arial"/>
        </w:rPr>
        <w:t xml:space="preserve">О внесении изменений в решение Совета народных депутатов Пчелиновского сельского поселения Бобровского муниципального района Воронежской области от 15.10.2021 № 30 «Об утверждении Положения о муниципальном земельном контроле на территории Пчелиновского сельского поселения Бобровского муниципального района Воронежской области» (в ред. </w:t>
      </w:r>
      <w:proofErr w:type="spellStart"/>
      <w:r w:rsidRPr="009121A5">
        <w:rPr>
          <w:rFonts w:cs="Arial"/>
        </w:rPr>
        <w:t>реш</w:t>
      </w:r>
      <w:proofErr w:type="spellEnd"/>
      <w:r w:rsidRPr="009121A5">
        <w:rPr>
          <w:rFonts w:cs="Arial"/>
        </w:rPr>
        <w:t>. от 15.12.2021 № 38, 30.05.2023 № 19, от 31.01.2024 № 3)</w:t>
      </w:r>
    </w:p>
    <w:p w:rsidR="00365087" w:rsidRPr="009121A5" w:rsidRDefault="00365087" w:rsidP="009121A5">
      <w:pPr>
        <w:ind w:firstLine="709"/>
        <w:rPr>
          <w:rFonts w:eastAsia="Calibri" w:cs="Arial"/>
        </w:rPr>
      </w:pPr>
    </w:p>
    <w:p w:rsidR="007947C0" w:rsidRPr="007947C0" w:rsidRDefault="0015161A" w:rsidP="007947C0">
      <w:pPr>
        <w:ind w:right="-266" w:firstLine="709"/>
        <w:rPr>
          <w:rFonts w:cs="Arial"/>
        </w:rPr>
      </w:pPr>
      <w:r w:rsidRPr="0015161A">
        <w:rPr>
          <w:rFonts w:cs="Arial"/>
        </w:rPr>
        <w:t>В соответствии со ст. 72 Земельного кодекса Российской Федерации, Федеральным законом от 06.10.2003 №</w:t>
      </w:r>
      <w:r>
        <w:rPr>
          <w:rFonts w:cs="Arial"/>
        </w:rPr>
        <w:t xml:space="preserve"> </w:t>
      </w:r>
      <w:r w:rsidRPr="0015161A">
        <w:rPr>
          <w:rFonts w:cs="Arial"/>
        </w:rPr>
        <w:t>131-ФЗ «Об общих принципах организации местного самоуправления в Российской Федерации», Федеральным законом от 31.07.2020 №</w:t>
      </w:r>
      <w:r>
        <w:rPr>
          <w:rFonts w:cs="Arial"/>
        </w:rPr>
        <w:t xml:space="preserve"> </w:t>
      </w:r>
      <w:r w:rsidRPr="0015161A">
        <w:rPr>
          <w:rFonts w:cs="Arial"/>
        </w:rPr>
        <w:t>248-ФЗ «О государственном контроле (надзоре) и муниципальном контроле в Российской Федерации», Уставом </w:t>
      </w:r>
      <w:r>
        <w:rPr>
          <w:rFonts w:cs="Arial"/>
        </w:rPr>
        <w:t>Пчели</w:t>
      </w:r>
      <w:r w:rsidRPr="0015161A">
        <w:rPr>
          <w:rFonts w:cs="Arial"/>
        </w:rPr>
        <w:t>новского сельского поселения Бобровского муниципального района Воро</w:t>
      </w:r>
      <w:r>
        <w:rPr>
          <w:rFonts w:cs="Arial"/>
        </w:rPr>
        <w:t xml:space="preserve">нежской области и </w:t>
      </w:r>
      <w:r w:rsidR="007947C0" w:rsidRPr="007947C0">
        <w:rPr>
          <w:rFonts w:cs="Arial"/>
        </w:rPr>
        <w:t>на основании Экспертного заключения правового управления Правительства Воронежской области от 1</w:t>
      </w:r>
      <w:r w:rsidR="007947C0">
        <w:rPr>
          <w:rFonts w:cs="Arial"/>
        </w:rPr>
        <w:t>5</w:t>
      </w:r>
      <w:r w:rsidR="007947C0" w:rsidRPr="007947C0">
        <w:rPr>
          <w:rFonts w:cs="Arial"/>
        </w:rPr>
        <w:t>.08.2024 № 19-62/20-6</w:t>
      </w:r>
      <w:r w:rsidR="007947C0">
        <w:rPr>
          <w:rFonts w:cs="Arial"/>
        </w:rPr>
        <w:t>75</w:t>
      </w:r>
      <w:r w:rsidR="007947C0" w:rsidRPr="007947C0">
        <w:rPr>
          <w:rFonts w:cs="Arial"/>
        </w:rPr>
        <w:t xml:space="preserve">П, Совет народных депутатов Пчелиновского сельского поселения Бобровского муниципального района Воронежской области </w:t>
      </w:r>
      <w:r w:rsidR="007947C0" w:rsidRPr="007947C0">
        <w:rPr>
          <w:rFonts w:cs="Arial"/>
          <w:spacing w:val="20"/>
        </w:rPr>
        <w:t>решил</w:t>
      </w:r>
      <w:r w:rsidR="007947C0" w:rsidRPr="007947C0">
        <w:rPr>
          <w:rFonts w:cs="Arial"/>
        </w:rPr>
        <w:t>:</w:t>
      </w:r>
    </w:p>
    <w:p w:rsidR="00D20176" w:rsidRPr="009121A5" w:rsidRDefault="00365087" w:rsidP="00587C32">
      <w:pPr>
        <w:ind w:firstLine="709"/>
        <w:rPr>
          <w:rFonts w:cs="Arial"/>
        </w:rPr>
      </w:pPr>
      <w:r w:rsidRPr="009121A5">
        <w:rPr>
          <w:rFonts w:eastAsia="SimSun" w:cs="Arial"/>
        </w:rPr>
        <w:t xml:space="preserve">1. Внести в </w:t>
      </w:r>
      <w:r w:rsidR="003534D4" w:rsidRPr="009121A5">
        <w:rPr>
          <w:rFonts w:cs="Arial"/>
        </w:rPr>
        <w:t xml:space="preserve">решение Совета народных депутатов Пчелиновского сельского поселения Бобровского муниципального района Воронежской области от 15.10.2021 № 30 «Об утверждении Положения о муниципальном земельном контроле на территории Пчелиновского сельского поселения Бобровского муниципального района Воронежской области» (в ред. </w:t>
      </w:r>
      <w:proofErr w:type="spellStart"/>
      <w:r w:rsidR="003534D4" w:rsidRPr="009121A5">
        <w:rPr>
          <w:rFonts w:cs="Arial"/>
        </w:rPr>
        <w:t>реш</w:t>
      </w:r>
      <w:proofErr w:type="spellEnd"/>
      <w:r w:rsidR="003534D4" w:rsidRPr="009121A5">
        <w:rPr>
          <w:rFonts w:cs="Arial"/>
        </w:rPr>
        <w:t>. от 15.12.2021 № 38, 30.05.2023 № 19, от 31.01.2024 № 3)</w:t>
      </w:r>
      <w:r w:rsidR="007947C0">
        <w:rPr>
          <w:rFonts w:cs="Arial"/>
        </w:rPr>
        <w:t xml:space="preserve"> </w:t>
      </w:r>
      <w:r w:rsidR="00587C32">
        <w:rPr>
          <w:rFonts w:eastAsia="SimSun" w:cs="Arial"/>
        </w:rPr>
        <w:t>изменения</w:t>
      </w:r>
      <w:r w:rsidR="0015161A">
        <w:rPr>
          <w:rFonts w:eastAsia="SimSun" w:cs="Arial"/>
        </w:rPr>
        <w:t>,</w:t>
      </w:r>
      <w:r w:rsidR="00587C32">
        <w:rPr>
          <w:rFonts w:eastAsia="SimSun" w:cs="Arial"/>
        </w:rPr>
        <w:t xml:space="preserve"> согласно </w:t>
      </w:r>
      <w:proofErr w:type="gramStart"/>
      <w:r w:rsidR="00587C32">
        <w:rPr>
          <w:rFonts w:eastAsia="SimSun" w:cs="Arial"/>
        </w:rPr>
        <w:t>Приложению</w:t>
      </w:r>
      <w:proofErr w:type="gramEnd"/>
      <w:r w:rsidR="00587C32">
        <w:rPr>
          <w:rFonts w:eastAsia="SimSun" w:cs="Arial"/>
        </w:rPr>
        <w:t xml:space="preserve"> к настоящему решению.</w:t>
      </w:r>
    </w:p>
    <w:p w:rsidR="00D20176" w:rsidRDefault="00D20176" w:rsidP="001244E6">
      <w:pPr>
        <w:pStyle w:val="a7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4431A" w:rsidRPr="00C4431A">
        <w:rPr>
          <w:rFonts w:ascii="Arial" w:hAnsi="Arial" w:cs="Arial"/>
        </w:rPr>
        <w:t>Настоящее решение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вестник».</w:t>
      </w:r>
    </w:p>
    <w:p w:rsidR="00C4431A" w:rsidRDefault="00C4431A" w:rsidP="001244E6">
      <w:pPr>
        <w:pStyle w:val="a7"/>
        <w:ind w:right="-1" w:firstLine="709"/>
        <w:jc w:val="both"/>
        <w:rPr>
          <w:rFonts w:cs="Arial"/>
        </w:rPr>
      </w:pPr>
    </w:p>
    <w:tbl>
      <w:tblPr>
        <w:tblStyle w:val="a4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3096"/>
      </w:tblGrid>
      <w:tr w:rsidR="00365087" w:rsidRPr="009121A5" w:rsidTr="009121A5">
        <w:tc>
          <w:tcPr>
            <w:tcW w:w="4077" w:type="dxa"/>
          </w:tcPr>
          <w:p w:rsidR="00365087" w:rsidRPr="009121A5" w:rsidRDefault="00365087" w:rsidP="009121A5">
            <w:pPr>
              <w:ind w:right="-4536" w:firstLine="0"/>
              <w:rPr>
                <w:rFonts w:cs="Arial"/>
              </w:rPr>
            </w:pPr>
            <w:r w:rsidRPr="009121A5">
              <w:rPr>
                <w:rFonts w:eastAsia="SimSun" w:cs="Arial"/>
              </w:rPr>
              <w:t xml:space="preserve">Глава </w:t>
            </w:r>
            <w:r w:rsidRPr="009121A5">
              <w:rPr>
                <w:rFonts w:cs="Arial"/>
              </w:rPr>
              <w:t xml:space="preserve">Пчелиновского сельского </w:t>
            </w:r>
          </w:p>
          <w:p w:rsidR="00365087" w:rsidRPr="009121A5" w:rsidRDefault="009121A5" w:rsidP="009121A5">
            <w:pPr>
              <w:ind w:right="-4536" w:firstLine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365087" w:rsidRPr="009121A5">
              <w:rPr>
                <w:rFonts w:cs="Arial"/>
              </w:rPr>
              <w:t>оселения</w:t>
            </w:r>
            <w:r w:rsidR="00365087" w:rsidRPr="009121A5">
              <w:rPr>
                <w:rFonts w:eastAsia="SimSun" w:cs="Arial"/>
              </w:rPr>
              <w:t xml:space="preserve"> </w:t>
            </w:r>
            <w:r w:rsidR="00365087" w:rsidRPr="009121A5">
              <w:rPr>
                <w:rFonts w:cs="Arial"/>
              </w:rPr>
              <w:t xml:space="preserve">Бобровского </w:t>
            </w:r>
          </w:p>
          <w:p w:rsidR="00365087" w:rsidRPr="009121A5" w:rsidRDefault="00365087" w:rsidP="009121A5">
            <w:pPr>
              <w:ind w:right="-4536" w:firstLine="0"/>
              <w:rPr>
                <w:rFonts w:cs="Arial"/>
              </w:rPr>
            </w:pPr>
            <w:r w:rsidRPr="009121A5">
              <w:rPr>
                <w:rFonts w:cs="Arial"/>
              </w:rPr>
              <w:t>муниципального</w:t>
            </w:r>
            <w:r w:rsidRPr="009121A5">
              <w:rPr>
                <w:rFonts w:eastAsia="SimSun" w:cs="Arial"/>
              </w:rPr>
              <w:t xml:space="preserve"> </w:t>
            </w:r>
            <w:r w:rsidRPr="009121A5">
              <w:rPr>
                <w:rFonts w:cs="Arial"/>
              </w:rPr>
              <w:t xml:space="preserve">района </w:t>
            </w:r>
          </w:p>
          <w:p w:rsidR="00365087" w:rsidRPr="009121A5" w:rsidRDefault="00365087" w:rsidP="009121A5">
            <w:pPr>
              <w:ind w:right="-4536" w:firstLine="0"/>
              <w:rPr>
                <w:rFonts w:eastAsia="SimSun" w:cs="Arial"/>
              </w:rPr>
            </w:pPr>
            <w:r w:rsidRPr="009121A5">
              <w:rPr>
                <w:rFonts w:cs="Arial"/>
              </w:rPr>
              <w:t>Воронежской области</w:t>
            </w:r>
          </w:p>
        </w:tc>
        <w:tc>
          <w:tcPr>
            <w:tcW w:w="2268" w:type="dxa"/>
          </w:tcPr>
          <w:p w:rsidR="00365087" w:rsidRPr="009121A5" w:rsidRDefault="00365087" w:rsidP="009121A5">
            <w:pPr>
              <w:ind w:right="-4536" w:firstLine="709"/>
              <w:rPr>
                <w:rFonts w:eastAsia="SimSun" w:cs="Arial"/>
              </w:rPr>
            </w:pPr>
          </w:p>
        </w:tc>
        <w:tc>
          <w:tcPr>
            <w:tcW w:w="3096" w:type="dxa"/>
          </w:tcPr>
          <w:p w:rsidR="00365087" w:rsidRPr="009121A5" w:rsidRDefault="00365087" w:rsidP="009121A5">
            <w:pPr>
              <w:ind w:right="-4536" w:firstLine="709"/>
              <w:rPr>
                <w:rFonts w:cs="Arial"/>
              </w:rPr>
            </w:pPr>
          </w:p>
          <w:p w:rsidR="00365087" w:rsidRPr="009121A5" w:rsidRDefault="00365087" w:rsidP="009121A5">
            <w:pPr>
              <w:ind w:right="-4536" w:firstLine="709"/>
              <w:rPr>
                <w:rFonts w:cs="Arial"/>
              </w:rPr>
            </w:pPr>
          </w:p>
          <w:p w:rsidR="00365087" w:rsidRPr="009121A5" w:rsidRDefault="00365087" w:rsidP="009121A5">
            <w:pPr>
              <w:ind w:right="-4536" w:firstLine="709"/>
              <w:rPr>
                <w:rFonts w:cs="Arial"/>
              </w:rPr>
            </w:pPr>
          </w:p>
          <w:p w:rsidR="00365087" w:rsidRPr="009121A5" w:rsidRDefault="00365087" w:rsidP="009121A5">
            <w:pPr>
              <w:ind w:right="-4536" w:firstLine="709"/>
              <w:rPr>
                <w:rFonts w:cs="Arial"/>
              </w:rPr>
            </w:pPr>
            <w:r w:rsidRPr="009121A5">
              <w:rPr>
                <w:rFonts w:cs="Arial"/>
              </w:rPr>
              <w:t>С.В.Молдавская</w:t>
            </w:r>
          </w:p>
          <w:p w:rsidR="00365087" w:rsidRPr="009121A5" w:rsidRDefault="00365087" w:rsidP="009121A5">
            <w:pPr>
              <w:ind w:right="-4536" w:firstLine="709"/>
              <w:rPr>
                <w:rFonts w:cs="Arial"/>
              </w:rPr>
            </w:pPr>
          </w:p>
          <w:p w:rsidR="00365087" w:rsidRPr="009121A5" w:rsidRDefault="00365087" w:rsidP="009121A5">
            <w:pPr>
              <w:ind w:right="-4536" w:firstLine="709"/>
              <w:rPr>
                <w:rFonts w:cs="Arial"/>
              </w:rPr>
            </w:pPr>
          </w:p>
          <w:p w:rsidR="00365087" w:rsidRPr="009121A5" w:rsidRDefault="00365087" w:rsidP="009121A5">
            <w:pPr>
              <w:ind w:right="-4536" w:firstLine="709"/>
              <w:rPr>
                <w:rFonts w:cs="Arial"/>
              </w:rPr>
            </w:pPr>
          </w:p>
          <w:p w:rsidR="00365087" w:rsidRPr="009121A5" w:rsidRDefault="00365087" w:rsidP="009121A5">
            <w:pPr>
              <w:ind w:right="-4536" w:firstLine="709"/>
              <w:rPr>
                <w:rFonts w:cs="Arial"/>
              </w:rPr>
            </w:pPr>
          </w:p>
          <w:p w:rsidR="00365087" w:rsidRPr="009121A5" w:rsidRDefault="00365087" w:rsidP="009121A5">
            <w:pPr>
              <w:ind w:right="-4536" w:firstLine="709"/>
              <w:rPr>
                <w:rFonts w:cs="Arial"/>
              </w:rPr>
            </w:pPr>
          </w:p>
          <w:p w:rsidR="00365087" w:rsidRPr="009121A5" w:rsidRDefault="00365087" w:rsidP="009121A5">
            <w:pPr>
              <w:ind w:right="-4536" w:firstLine="709"/>
              <w:rPr>
                <w:rFonts w:cs="Arial"/>
              </w:rPr>
            </w:pPr>
          </w:p>
          <w:p w:rsidR="00365087" w:rsidRPr="009121A5" w:rsidRDefault="00365087" w:rsidP="009121A5">
            <w:pPr>
              <w:ind w:right="-4536" w:firstLine="709"/>
              <w:rPr>
                <w:rFonts w:cs="Arial"/>
              </w:rPr>
            </w:pPr>
          </w:p>
          <w:p w:rsidR="00365087" w:rsidRPr="009121A5" w:rsidRDefault="00365087" w:rsidP="009121A5">
            <w:pPr>
              <w:ind w:right="-4536" w:firstLine="709"/>
              <w:rPr>
                <w:rFonts w:eastAsia="SimSun" w:cs="Arial"/>
              </w:rPr>
            </w:pPr>
          </w:p>
        </w:tc>
      </w:tr>
    </w:tbl>
    <w:p w:rsidR="00365087" w:rsidRPr="009121A5" w:rsidRDefault="00365087" w:rsidP="009121A5">
      <w:pPr>
        <w:ind w:firstLine="709"/>
        <w:rPr>
          <w:rFonts w:cs="Arial"/>
        </w:rPr>
      </w:pPr>
    </w:p>
    <w:p w:rsidR="00C4431A" w:rsidRDefault="00C4431A" w:rsidP="00587C32">
      <w:pPr>
        <w:ind w:firstLine="709"/>
        <w:jc w:val="center"/>
        <w:rPr>
          <w:rFonts w:cs="Arial"/>
        </w:rPr>
      </w:pPr>
    </w:p>
    <w:p w:rsidR="00587C32" w:rsidRDefault="00587C32" w:rsidP="00587C3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</w:t>
      </w:r>
    </w:p>
    <w:p w:rsidR="00587C32" w:rsidRPr="00587C32" w:rsidRDefault="00587C32" w:rsidP="00587C32">
      <w:pPr>
        <w:ind w:firstLine="709"/>
        <w:jc w:val="center"/>
        <w:rPr>
          <w:rFonts w:cs="Arial"/>
        </w:rPr>
      </w:pPr>
      <w:r>
        <w:rPr>
          <w:rFonts w:cs="Arial"/>
        </w:rPr>
        <w:lastRenderedPageBreak/>
        <w:t xml:space="preserve">                     </w:t>
      </w:r>
      <w:r w:rsidRPr="00587C32">
        <w:rPr>
          <w:rFonts w:cs="Arial"/>
        </w:rPr>
        <w:t>Приложение</w:t>
      </w:r>
    </w:p>
    <w:p w:rsidR="00587C32" w:rsidRDefault="00587C32" w:rsidP="00587C32">
      <w:pPr>
        <w:ind w:firstLine="709"/>
        <w:jc w:val="right"/>
        <w:rPr>
          <w:rFonts w:cs="Arial"/>
        </w:rPr>
      </w:pPr>
      <w:r w:rsidRPr="00587C32">
        <w:rPr>
          <w:rFonts w:cs="Arial"/>
        </w:rPr>
        <w:t xml:space="preserve">к решению Совета народных депутатов </w:t>
      </w:r>
    </w:p>
    <w:p w:rsidR="00587C32" w:rsidRPr="00587C32" w:rsidRDefault="00587C32" w:rsidP="00587C3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Пчелиновского</w:t>
      </w:r>
      <w:r w:rsidRPr="00587C32">
        <w:rPr>
          <w:rFonts w:cs="Arial"/>
        </w:rPr>
        <w:t xml:space="preserve"> сельского поселения </w:t>
      </w:r>
    </w:p>
    <w:p w:rsidR="00587C32" w:rsidRDefault="00587C32" w:rsidP="00587C3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</w:t>
      </w:r>
      <w:r w:rsidRPr="00587C32">
        <w:rPr>
          <w:rFonts w:cs="Arial"/>
        </w:rPr>
        <w:t xml:space="preserve">Бобровского муниципального района </w:t>
      </w:r>
    </w:p>
    <w:p w:rsidR="00587C32" w:rsidRPr="00587C32" w:rsidRDefault="00587C32" w:rsidP="00587C3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587C32">
        <w:rPr>
          <w:rFonts w:cs="Arial"/>
        </w:rPr>
        <w:t>Воронежской области</w:t>
      </w:r>
    </w:p>
    <w:p w:rsidR="00587C32" w:rsidRPr="00587C32" w:rsidRDefault="00587C32" w:rsidP="00587C3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</w:t>
      </w:r>
      <w:r w:rsidR="00D8054D">
        <w:rPr>
          <w:rFonts w:cs="Arial"/>
        </w:rPr>
        <w:t xml:space="preserve">     </w:t>
      </w:r>
      <w:bookmarkStart w:id="0" w:name="_GoBack"/>
      <w:bookmarkEnd w:id="0"/>
      <w:r>
        <w:rPr>
          <w:rFonts w:cs="Arial"/>
        </w:rPr>
        <w:t>От 1</w:t>
      </w:r>
      <w:r w:rsidR="00D8054D">
        <w:rPr>
          <w:rFonts w:cs="Arial"/>
        </w:rPr>
        <w:t>8</w:t>
      </w:r>
      <w:r>
        <w:rPr>
          <w:rFonts w:cs="Arial"/>
        </w:rPr>
        <w:t>.09.</w:t>
      </w:r>
      <w:r w:rsidRPr="00587C32">
        <w:rPr>
          <w:rFonts w:cs="Arial"/>
        </w:rPr>
        <w:t>2024</w:t>
      </w:r>
      <w:r>
        <w:rPr>
          <w:rFonts w:cs="Arial"/>
        </w:rPr>
        <w:t xml:space="preserve"> г. №</w:t>
      </w:r>
      <w:r w:rsidR="00D8054D">
        <w:rPr>
          <w:rFonts w:cs="Arial"/>
        </w:rPr>
        <w:t xml:space="preserve"> 25</w:t>
      </w:r>
      <w:r>
        <w:rPr>
          <w:rFonts w:cs="Arial"/>
        </w:rPr>
        <w:t xml:space="preserve"> </w:t>
      </w:r>
    </w:p>
    <w:p w:rsidR="00587C32" w:rsidRPr="00587C32" w:rsidRDefault="00587C32" w:rsidP="00587C32">
      <w:pPr>
        <w:ind w:firstLine="709"/>
        <w:rPr>
          <w:rFonts w:cs="Arial"/>
        </w:rPr>
      </w:pPr>
    </w:p>
    <w:p w:rsidR="00587C32" w:rsidRPr="00587C32" w:rsidRDefault="00587C32" w:rsidP="00587C32">
      <w:pPr>
        <w:ind w:firstLine="709"/>
        <w:jc w:val="center"/>
        <w:rPr>
          <w:rFonts w:cs="Arial"/>
        </w:rPr>
      </w:pPr>
      <w:r w:rsidRPr="00587C32">
        <w:rPr>
          <w:rFonts w:cs="Arial"/>
        </w:rPr>
        <w:t xml:space="preserve">Изменения </w:t>
      </w:r>
      <w:r>
        <w:rPr>
          <w:rFonts w:cs="Arial"/>
        </w:rPr>
        <w:br/>
      </w:r>
      <w:r w:rsidRPr="00587C32">
        <w:rPr>
          <w:rFonts w:cs="Arial"/>
        </w:rPr>
        <w:t xml:space="preserve">в Положение по осуществлению муниципального земельного контроля на территории </w:t>
      </w:r>
      <w:r>
        <w:rPr>
          <w:rFonts w:cs="Arial"/>
        </w:rPr>
        <w:t>Пчелиновского</w:t>
      </w:r>
      <w:r w:rsidRPr="00587C32">
        <w:rPr>
          <w:rFonts w:cs="Arial"/>
        </w:rPr>
        <w:t xml:space="preserve"> сельского поселения Бобровского муниципального района Воронежской области</w:t>
      </w:r>
      <w:r>
        <w:rPr>
          <w:rFonts w:cs="Arial"/>
        </w:rPr>
        <w:t>, утвержденного решением Совета народных депутатов Пчелиновского сельского поселения от 15.10.2021 № 30</w:t>
      </w:r>
      <w:r w:rsidRPr="00587C32">
        <w:rPr>
          <w:rFonts w:cs="Arial"/>
        </w:rPr>
        <w:t xml:space="preserve"> (в ред. </w:t>
      </w:r>
      <w:proofErr w:type="spellStart"/>
      <w:r w:rsidRPr="00587C32">
        <w:rPr>
          <w:rFonts w:cs="Arial"/>
        </w:rPr>
        <w:t>реш</w:t>
      </w:r>
      <w:proofErr w:type="spellEnd"/>
      <w:r w:rsidRPr="00587C32">
        <w:rPr>
          <w:rFonts w:cs="Arial"/>
        </w:rPr>
        <w:t>. от 15.12.2021 № 38, 30.05.2023 № 19, от 31.01.2024 № 3)</w:t>
      </w:r>
    </w:p>
    <w:p w:rsidR="00587C32" w:rsidRPr="00587C32" w:rsidRDefault="00587C32" w:rsidP="00587C32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1. Пункт 4.4.4. Положения изложить в новой редакции: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«4.4.4.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 xml:space="preserve">Внеплановые контрольные мероприятия в рамках муниципального земельного контроля на территории </w:t>
      </w:r>
      <w:r>
        <w:rPr>
          <w:rFonts w:cs="Arial"/>
        </w:rPr>
        <w:t>Пчелиновского</w:t>
      </w:r>
      <w:r w:rsidRPr="00587C32">
        <w:rPr>
          <w:rFonts w:cs="Arial"/>
        </w:rPr>
        <w:t xml:space="preserve"> сельского поселения Бобровского муниципального района Воронежской области проводятся в соответствии с п.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контроля.».</w:t>
      </w:r>
    </w:p>
    <w:p w:rsidR="00587C32" w:rsidRPr="00587C32" w:rsidRDefault="00587C32" w:rsidP="00587C32">
      <w:pPr>
        <w:ind w:firstLine="709"/>
        <w:rPr>
          <w:rFonts w:cs="Arial"/>
        </w:rPr>
      </w:pP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 xml:space="preserve">2. Приложение </w:t>
      </w:r>
      <w:r>
        <w:rPr>
          <w:rFonts w:cs="Arial"/>
        </w:rPr>
        <w:t xml:space="preserve">№ </w:t>
      </w:r>
      <w:r w:rsidRPr="00587C32">
        <w:rPr>
          <w:rFonts w:cs="Arial"/>
        </w:rPr>
        <w:t>2 к Положению изложить в новой редакции: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«Критерии отнесения объектов контроля к категориям риска в рамках осуществления муниципального земельного контроля:</w:t>
      </w:r>
    </w:p>
    <w:p w:rsidR="00587C32" w:rsidRPr="00587C32" w:rsidRDefault="00587C32" w:rsidP="00587C32">
      <w:pPr>
        <w:ind w:firstLine="709"/>
        <w:rPr>
          <w:rFonts w:cs="Arial"/>
        </w:rPr>
      </w:pP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1.</w:t>
      </w:r>
      <w:r w:rsidRPr="00587C32">
        <w:rPr>
          <w:rFonts w:cs="Arial"/>
        </w:rPr>
        <w:tab/>
        <w:t>К категории среднего риска относятся: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а) земельные участки, предназначенные для захоронения и размещения твердых бытовых отходов, размещения кладбищ и граничащие с ними земельные участки;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в)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2.</w:t>
      </w:r>
      <w:r w:rsidRPr="00587C32">
        <w:rPr>
          <w:rFonts w:cs="Arial"/>
        </w:rPr>
        <w:tab/>
        <w:t>К категории умеренного риска относятся земельные участки: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 xml:space="preserve">а) сельскохозяйственное использование (код 1.0); 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 xml:space="preserve">б) объекты торговли (торговые центры, торгово-развлекательные 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центры (комплексы) (код 4.2);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в) рынки (код 4.3);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г) магазины (код 4.4);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д) общественное питание (код 4.6);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е) гостиничное обслуживание (код 4.7);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ж) объекты дорожного сервиса (код 4.9.1);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з) легкая промышленность (код 6.3);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и) пищевая промышленность (код 6.4);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 xml:space="preserve">к) строительная промышленность (код 6.6); 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lastRenderedPageBreak/>
        <w:t>л) энергетика (код 6.7);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м) склады (код 6.9);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н) целлюлозно-бумажная промышленность (код 6.11);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о) автомобильный транспорт (код 7.2);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п) ведение садоводства (код 13.2);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р) ведение огородничества (код 13.1);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 xml:space="preserve">с) граничащие с земельными участками с видами разрешенного использования: 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- сельскохозяйственное использование (код 1.0);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- питомники (код 1.17);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- природно-познавательный туризм (код 5.2);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 xml:space="preserve">- деятельность по особой охране и изучению природы (код 9.0); 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- охрана природных территорий (код 9.1);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- курортная деятельность (код 9.2);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- санаторная деятельность (код 9.2.1);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- резервные леса (код 10.4);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- общее пользование водными объектами (код 11.1);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- гидротехнические сооружения (код 11.3);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 xml:space="preserve">- ведение огородничества (код 13.1); 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- ведение садоводства (код 13.2).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участки.».</w:t>
      </w:r>
    </w:p>
    <w:p w:rsidR="00587C32" w:rsidRPr="00587C32" w:rsidRDefault="00587C32" w:rsidP="00587C32">
      <w:pPr>
        <w:ind w:firstLine="709"/>
        <w:rPr>
          <w:rFonts w:cs="Arial"/>
        </w:rPr>
      </w:pP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 xml:space="preserve">3. Приложение </w:t>
      </w:r>
      <w:r>
        <w:rPr>
          <w:rFonts w:cs="Arial"/>
        </w:rPr>
        <w:t xml:space="preserve">№ </w:t>
      </w:r>
      <w:r w:rsidRPr="00587C32">
        <w:rPr>
          <w:rFonts w:cs="Arial"/>
        </w:rPr>
        <w:t>3 к Положению изложить в новой редакции: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«Перечень индикаторов риска нарушения обязательных требований, проверяемых в рамках осуществления муниципального земельного контроля:</w:t>
      </w:r>
    </w:p>
    <w:p w:rsidR="00587C32" w:rsidRPr="00587C32" w:rsidRDefault="00587C32" w:rsidP="00587C32">
      <w:pPr>
        <w:ind w:firstLine="709"/>
        <w:rPr>
          <w:rFonts w:cs="Arial"/>
        </w:rPr>
      </w:pP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участок.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587C32" w:rsidRPr="00587C32" w:rsidRDefault="00587C32" w:rsidP="00587C32">
      <w:pPr>
        <w:ind w:firstLine="709"/>
        <w:rPr>
          <w:rFonts w:cs="Arial"/>
        </w:rPr>
      </w:pPr>
      <w:r w:rsidRPr="00587C32">
        <w:rPr>
          <w:rFonts w:cs="Arial"/>
        </w:rPr>
        <w:t>4. Наличие на земельном участке специализированной техники, используемой для снятия и (или) перемещения плодородного слоя почвы.».</w:t>
      </w:r>
    </w:p>
    <w:p w:rsidR="00587C32" w:rsidRPr="009121A5" w:rsidRDefault="00587C32" w:rsidP="009121A5">
      <w:pPr>
        <w:ind w:firstLine="709"/>
        <w:rPr>
          <w:rFonts w:cs="Arial"/>
        </w:rPr>
      </w:pPr>
    </w:p>
    <w:sectPr w:rsidR="00587C32" w:rsidRPr="009121A5" w:rsidSect="009121A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87"/>
    <w:rsid w:val="001244E6"/>
    <w:rsid w:val="0015161A"/>
    <w:rsid w:val="003534D4"/>
    <w:rsid w:val="00365087"/>
    <w:rsid w:val="00424AA6"/>
    <w:rsid w:val="004F621A"/>
    <w:rsid w:val="00587C32"/>
    <w:rsid w:val="007947C0"/>
    <w:rsid w:val="009121A5"/>
    <w:rsid w:val="00AA33E3"/>
    <w:rsid w:val="00BB4D0C"/>
    <w:rsid w:val="00C4431A"/>
    <w:rsid w:val="00D20176"/>
    <w:rsid w:val="00D7166D"/>
    <w:rsid w:val="00D8054D"/>
    <w:rsid w:val="00E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D5B6"/>
  <w15:chartTrackingRefBased/>
  <w15:docId w15:val="{7721E0BF-E498-4E84-98A5-C985E244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650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5087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50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Гиперссылка1"/>
    <w:basedOn w:val="a"/>
    <w:link w:val="a3"/>
    <w:rsid w:val="00365087"/>
    <w:pPr>
      <w:spacing w:after="200" w:line="276" w:lineRule="auto"/>
      <w:ind w:firstLine="0"/>
      <w:jc w:val="left"/>
    </w:pPr>
    <w:rPr>
      <w:rFonts w:ascii="Calibri" w:eastAsia="Calibri" w:hAnsi="Calibri"/>
      <w:color w:val="0000FF"/>
      <w:sz w:val="20"/>
      <w:szCs w:val="20"/>
    </w:rPr>
  </w:style>
  <w:style w:type="character" w:styleId="a3">
    <w:name w:val="Hyperlink"/>
    <w:basedOn w:val="a0"/>
    <w:link w:val="1"/>
    <w:rsid w:val="00365087"/>
    <w:rPr>
      <w:rFonts w:ascii="Calibri" w:eastAsia="Calibri" w:hAnsi="Calibri" w:cs="Times New Roman"/>
      <w:color w:val="0000FF"/>
      <w:sz w:val="20"/>
      <w:szCs w:val="20"/>
      <w:lang w:eastAsia="ru-RU"/>
    </w:rPr>
  </w:style>
  <w:style w:type="table" w:styleId="a4">
    <w:name w:val="Table Grid"/>
    <w:basedOn w:val="a1"/>
    <w:uiPriority w:val="59"/>
    <w:rsid w:val="0036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508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508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link w:val="ConsPlusNormal1"/>
    <w:qFormat/>
    <w:rsid w:val="0036508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65087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 Spacing"/>
    <w:uiPriority w:val="1"/>
    <w:qFormat/>
    <w:rsid w:val="00D2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1027</Words>
  <Characters>5860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26</cp:revision>
  <dcterms:created xsi:type="dcterms:W3CDTF">2024-08-21T08:41:00Z</dcterms:created>
  <dcterms:modified xsi:type="dcterms:W3CDTF">2024-09-16T08:41:00Z</dcterms:modified>
</cp:coreProperties>
</file>